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6deceb61713e4e7c"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11646</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OSNOVNA ŠKOLA SELA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628.839,62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682.686,50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715.434,17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673.445,66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9.240,84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13.566,79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12.730,63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13.566,79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12.730,63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93,8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100.161,34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3.489,79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3,5</w:t>
            </w:r>
          </w:p>
        </w:tc>
      </w:tr>
    </w:tbl>
    <w:p>
      <w:pPr>
        <w:spacing w:before="0" w:after="0"/>
      </w:pPr>
    </w:p>
    <w:p>
      <w:r>
        <w:br/>
      </w:r>
      <w:r>
        <w:t xml:space="preserve">U predmetnom razdoblju ostvareni su prihodi i primici u iznosu od 682.686,50 EUR. Najznačajnije povećanje prihoda ostvareno je zbog povećanja plaća i materijalnih prava djelatnika dok je najznačajnije smanjenje na ostalim prihodima odnosno na uplatama roditelja za uslugu produženog boravka zbog manjeg broja djece korisnika usluge produženog boravka te na tekućim pomoćima temeljem prijenosa EU sredstava što se odnosi na uplate u programu školske sheme.</w:t>
      </w:r>
      <w:r>
        <w:br/>
      </w:r>
      <w:r>
        <w:t xml:space="preserve">Sukladno navedenom razlogu povećanja prihoda, isti razlog dovodi i do povećanja rashoda po pojedinim stavkama. Dakle, najznačajnije povećanje rashoda je na plaćama djelatnika i materijalu i dijelovima za tekuće i investicijsko održavanje zbog uređenja razreda. Međutim, izvještaj pokazuje smanjenje rashoda ali iz razloga što je temeljem novog pravilnika o proračunskom računovodstvu konto 193 ukinut sa 01.01.2025.g. i troškovi se knjiže u razdoblju u kojem su i nastali dok je prvi kvartal 2025.g. sadržavao i troškove prosinca 2024.g.</w:t>
      </w:r>
      <w:r>
        <w:br/>
      </w:r>
      <w:r>
        <w:t xml:space="preserve">U navedenom razdoblju nema ostvarenih prihoda od prodaje nefinancijske imovine dok su rashodi za nabavu nefinancijske imovine ostvareni u iznosu od 12.730,63 EUR što je manje za 6,20% u odnosu na 2025.g. jer je tada uređivana zbornica i ugrađivan portafon i sustav kontrole pristupa dok su ove godine nabavljana prijenosna računala, interaktivni ekrani te namještaj. </w:t>
      </w:r>
      <w:r>
        <w:br/>
      </w:r>
      <w:r>
        <w:t xml:space="preserve">U razdoblju od 01. siječnja do 30. lipnja 2026.g. ostvaren je ukupan manjak prihoda i primitaka od 94.150,04 EUR (šifra Y006) što predstavlja metodološki manjak zbog obračunatih a nedospjelih plaća za lipanj i nepodmirenih nedospjelih računa.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543.374,46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580.066,43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106,8</w:t>
            </w:r>
          </w:p>
        </w:tc>
      </w:tr>
    </w:tbl>
    <w:p>
      <w:pPr>
        <w:spacing w:before="0" w:after="0"/>
      </w:pPr>
    </w:p>
    <w:p>
      <w:r>
        <w:t xml:space="preserve">Prihodi u odnosu na isto razdoblje 2025.g. su povećani za 6,8% i iznose 580.066,43 EUR. Porasli su zbog uplata Ministarstva za troškove školske kuhinje i za plaće i materijalna prava djelatnika koja su veća u odnosu na prethodnu godinu zbog povećanja osnovice.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temeljem prijenosa EU sredstava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1.468,14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64,2</w:t>
            </w:r>
          </w:p>
        </w:tc>
      </w:tr>
    </w:tbl>
    <w:p>
      <w:pPr>
        <w:spacing w:before="0" w:after="0"/>
      </w:pPr>
    </w:p>
    <w:p>
      <w:r>
        <w:t xml:space="preserve">Iznos prihoda u 2026.g. iznosi 943,24 EUR što je je smanjenje za 35,8% a iz razloga manjih uplata odnosno odobrenih sredstava za provedbu programa Školske sheme.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7.470,00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5.940,00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79,5</w:t>
            </w:r>
          </w:p>
        </w:tc>
      </w:tr>
    </w:tbl>
    <w:p>
      <w:pPr>
        <w:spacing w:before="0" w:after="0"/>
      </w:pPr>
    </w:p>
    <w:p>
      <w:r>
        <w:t xml:space="preserve">Iznos prihoda u 2026.g. iznosi 5.940,00 EUR što je je smanjenje za 20,50% a iz razloga manjih uplata roditelja za korištenje usluge produženog boravka zbog manjeg broja djece korisnika usluge.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Prihodi u 2025.g. iznose 6,00 EUR dok tih prihoda nije bilo u 2026.g. i odnosi se na vlastite prihode od prodaje starog papira.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76.112,34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91.138,33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119,7</w:t>
            </w:r>
          </w:p>
        </w:tc>
      </w:tr>
    </w:tbl>
    <w:p>
      <w:pPr>
        <w:spacing w:before="0" w:after="0"/>
      </w:pPr>
    </w:p>
    <w:p>
      <w:r>
        <w:t xml:space="preserve">Ostvareni su  prihodi u iznosu od 91.138,33 EUR i predstavljaju povećanje od 19,70% u odnosu na prošlu godinu te se odnose se na podmirivanje troškova poslovanja financiranih od strane nadležnog proračuna i Ministarstva (decentralizirana sredstva). Do povećanja je većim dijelom došlo zbog rasta plaća djelatnika zaposlenih  u produženom boravku i pomoćnika u nastavi.</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408,68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4.598,50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1125,2</w:t>
            </w:r>
          </w:p>
        </w:tc>
      </w:tr>
    </w:tbl>
    <w:p>
      <w:pPr>
        <w:spacing w:before="0" w:after="0"/>
      </w:pPr>
    </w:p>
    <w:p>
      <w:r>
        <w:t xml:space="preserve">Navedeni prihodi u iznosu od 408,68 u 2025.g. predstavljaju prihode za nabavu sportske opreme i školskih stolica a na teret nadležnog proračuna dok isti u 2026.g. iznose 4.598,50 i predstavljaju povećanje od 1.025,20% te se odnose na nabavku školskih klupa i stolica te 2 laptopa za učitelje.</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499.277,63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466.985,67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93,5</w:t>
            </w:r>
          </w:p>
        </w:tc>
      </w:tr>
    </w:tbl>
    <w:p>
      <w:pPr>
        <w:spacing w:before="0" w:after="0"/>
      </w:pPr>
    </w:p>
    <w:p>
      <w:r>
        <w:t xml:space="preserve">Iznos dijela plaće za redovan rad je smanjen u odnosu na 2025.g. za 6,50%. Smanjenje je prvenstveno posljedica povećanog broja zaposlenika koji su koristili bolovanje, zbog čega je ostvaren manji broj sati redovnog rada te je posljedično smanjen iznos isplaćenih plaća za redovan rad.</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posebne uvjete rada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8.088,02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9.714,12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120,1</w:t>
            </w:r>
          </w:p>
        </w:tc>
      </w:tr>
    </w:tbl>
    <w:p>
      <w:pPr>
        <w:spacing w:before="0" w:after="0"/>
      </w:pPr>
    </w:p>
    <w:p>
      <w:r>
        <w:t xml:space="preserve">Iznos dijela plaće za posebne uvijete rada je povećan u odnosu na 2025.g. za 20,1% te iznosi 9.714,12 EUR također zbog povećanja plaća  i odnosi se na dodatke na plaću za rad s djecom u kombiniranim razrednim odjelima te sa djecom  koji prate nastavu po prilagođenom programu.</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21.259,77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19.624,32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92,3</w:t>
            </w:r>
          </w:p>
        </w:tc>
      </w:tr>
    </w:tbl>
    <w:p>
      <w:pPr>
        <w:spacing w:before="0" w:after="0"/>
      </w:pPr>
    </w:p>
    <w:p>
      <w:r>
        <w:t xml:space="preserve">Iznos troškova u odnosu na 2025.g. je smanjen za 7,70% i iznosi 19.624,32 EUR i odnosi se na razna materijalna prava djelatnika (Uskrsnica, Božićnica, dar za djecu, regres, jubilarne nagrade, naknada za dugotrajno bolovanje i za rođenje djeteta).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za obvezno zdravstveno osiguranje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85.322,86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79.876,79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93,6</w:t>
            </w:r>
          </w:p>
        </w:tc>
      </w:tr>
    </w:tbl>
    <w:p>
      <w:pPr>
        <w:spacing w:before="0" w:after="0"/>
      </w:pPr>
    </w:p>
    <w:p>
      <w:r>
        <w:t xml:space="preserve">Iznos troškova u odnosu na 2025.g. je smanjen za 6,40% i iznosi 79.876,79 EUR. Temeljem smanjenja plaće za redovan rad dolazi i do smanjenja doprinosa.</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za rad na terenu i odvojeni život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18.757,16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19.881,01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106,0</w:t>
            </w:r>
          </w:p>
        </w:tc>
      </w:tr>
    </w:tbl>
    <w:p>
      <w:pPr>
        <w:spacing w:before="0" w:after="0"/>
      </w:pPr>
    </w:p>
    <w:p>
      <w:r>
        <w:t xml:space="preserve">Iznos troškova u odnosu na 2025.g. je uvećan za 6% te predstavlja troškove prijevoza djelatnika. Zaposleno je par djelatnika iz drugih županija pa se slijedom toga i taj trošak povećao.</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troškova u 2026.g. iznosio je 200,00 EUR te predstavlja troškove edukacije djelatnika na seminaru dok istog troška prošle godine nije bilo.</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troškova zaposlenima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w:t>
            </w:r>
          </w:p>
        </w:tc>
      </w:tr>
    </w:tbl>
    <w:p>
      <w:pPr>
        <w:spacing w:before="0" w:after="0"/>
      </w:pPr>
    </w:p>
    <w:p>
      <w:r>
        <w:t xml:space="preserve">Troškovi u 2026.g. su iznosili 89,00,00 EUR a u 2025.g. 941,00 EUR što dovodi do  smanjenja od 90,50% zbog  prestanka potrebe odvoza kuhanih obroka iz matične u područne škole.</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3.728,94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4.736,28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127,0</w:t>
            </w:r>
          </w:p>
        </w:tc>
      </w:tr>
    </w:tbl>
    <w:p>
      <w:pPr>
        <w:spacing w:before="0" w:after="0"/>
      </w:pPr>
    </w:p>
    <w:p>
      <w:r>
        <w:t xml:space="preserve">Troškovi u 2026.g. povećani su za 27% u odnosu na isto razdoblje prošle godine i odnose se na troškove nabave fotokopirnog papira, olovki, fascikli, registratora i ostalog uredskog materijala. Do povećanja dolazi prvenstveno zbog povećanja tržišnih cijena.</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367,64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1.149,13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312,6</w:t>
            </w:r>
          </w:p>
        </w:tc>
      </w:tr>
    </w:tbl>
    <w:p>
      <w:pPr>
        <w:spacing w:before="0" w:after="0"/>
      </w:pPr>
    </w:p>
    <w:p>
      <w:r>
        <w:t xml:space="preserve">Troškovi u 2026.g. veći su za 212,60% u odnosu na isto razdoblje prošle godine. Troškovi se odnose na sitne popravke i uređenje 4 učionice (gletanje, brušenje, krečenje prostora)</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290,27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375,3</w:t>
            </w:r>
          </w:p>
        </w:tc>
      </w:tr>
    </w:tbl>
    <w:p>
      <w:pPr>
        <w:spacing w:before="0" w:after="0"/>
      </w:pPr>
    </w:p>
    <w:p>
      <w:r>
        <w:t xml:space="preserve">Iznos troškova u 2025.g. je bio 77,35 EUR a u 2026.g. 290,27 EUR što predstavlja povećanje od 275,30%. i odnosi se na nabavku sitnog inventara potrebnog za rad u školskoj kuhinji (žlice, vilice, tanjuri, zdjele) te alata za rad učenika u izvannastavnoj grupi „Mali modelari“ i alata za čišćenje odvoda dok je u 2025.g. nabavljena sportska oprema.</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234,41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troškova u 2026.g. iznosi 234,41 EUR i odnosi se na nabavku radne obuće za čistačice i kuharice dok ista prošle godine nije nabavljana.</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2.026,41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2.266,80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111,9</w:t>
            </w:r>
          </w:p>
        </w:tc>
      </w:tr>
    </w:tbl>
    <w:p>
      <w:pPr>
        <w:spacing w:before="0" w:after="0"/>
      </w:pPr>
    </w:p>
    <w:p>
      <w:r>
        <w:t xml:space="preserve">Troškovi usluga u 2026.g. u odnosu na 2025.g. povećani su za 11,90% te se odnose na troškove fiksne i mobilne usluge te usluge poštarina. Do povećanja je došlo zbog povećanja cijena fiksne i mobilne usluge.</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3.778,30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2.081,51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55,1</w:t>
            </w:r>
          </w:p>
        </w:tc>
      </w:tr>
    </w:tbl>
    <w:p>
      <w:pPr>
        <w:spacing w:before="0" w:after="0"/>
      </w:pPr>
    </w:p>
    <w:p>
      <w:r>
        <w:t xml:space="preserve">Iznos troškova u 2026.g. iznosi 2.081,51 EUR i predstavlja smanjenje u odnosu na 2025.g. za 44,9% te se najvećim dijelom odnosi na troškove servisa opreme sustava za pročišćavanje otpadnih voda koji još nisu odrađeni u 2026.g.</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3.277,49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3.922,33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119,7</w:t>
            </w:r>
          </w:p>
        </w:tc>
      </w:tr>
    </w:tbl>
    <w:p>
      <w:pPr>
        <w:spacing w:before="0" w:after="0"/>
      </w:pPr>
    </w:p>
    <w:p>
      <w:r>
        <w:t xml:space="preserve">Iznos troškova u 2026.g. iznosi 3.922,33 EUR i predstavlja povećanje u odnosu na 2025.g. za 19,7% te se odnosi na  usluge isporuke vode, odvoza otpada, dimnjačarske usluge i troškova komunalne naknade. Do povećanja dolazi bog povećanja cijene navedenih usluga.</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1.745,27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Iznos troškova u 2026.g. iznosi 1.745,27 EUR i odnosi se na usluge najma kopirnih strojeva u matičnoj i područnim školama. Prethodne godine najam se knjižio na drugi konto.</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2.549,40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3.051,80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119,7</w:t>
            </w:r>
          </w:p>
        </w:tc>
      </w:tr>
    </w:tbl>
    <w:p>
      <w:pPr>
        <w:spacing w:before="0" w:after="0"/>
      </w:pPr>
    </w:p>
    <w:p>
      <w:r>
        <w:t xml:space="preserve">Troškovi u 2026.g. su iznosili 3.051,80 EUR i predstavljaju povećanje od 19,70% u odnosu na 2025.g.  Navedeni troškovi se odnose na obvezne zdravstvene preglede radnika za izdavanje sanitarne iskaznice, sistematskih pregleda djelatnika te obvezne analize uzoraka vode i hrane. Do povećanja je prvenstveno došlo zbog većeg broja djelatnika koji su koristili uslugu sistematskog pregleda.</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3.662,47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2.142,22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58,5</w:t>
            </w:r>
          </w:p>
        </w:tc>
      </w:tr>
    </w:tbl>
    <w:p>
      <w:pPr>
        <w:spacing w:before="0" w:after="0"/>
      </w:pPr>
    </w:p>
    <w:p>
      <w:r>
        <w:t xml:space="preserve">Trošak usluga u 2026.g. iznosi 2.142,22 EUR i predstavlja smanjenje od 41,50% u odnosu na 2025.g. Navedeni troškovi se odnose na intelektualne mjesečne usluge vanjskih društava (O.M. Suport d.o.o., Zagrebinspekt d.o.o., Gradska tržnica, HRT) Do smanjenja je došlo jer je sa prošlom godinom raskinuta suradnja sa tvrtkom Red Fork j.d.o.o. koja je provodila program „Healthy meal standard“ u školi.</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Računalne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4.643,93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2.844,68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61,3</w:t>
            </w:r>
          </w:p>
        </w:tc>
      </w:tr>
    </w:tbl>
    <w:p>
      <w:pPr>
        <w:spacing w:before="0" w:after="0"/>
      </w:pPr>
    </w:p>
    <w:p>
      <w:r>
        <w:t xml:space="preserve">Troškovi u 2026.g. iznose 2.844,68 EUR te predstavljaju smanjenje od 38,7% u odnosu na 2025.g. i odnose se na troškove mjesečnog održavanja raznih programa neophodnih u radu škole a do smanjenja troškova je došlo zbog knjiženja dijela troškova na konto 3235 (nakon otvaranja nove pozicije).</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3.909,03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w:t>
            </w:r>
          </w:p>
        </w:tc>
      </w:tr>
    </w:tbl>
    <w:p>
      <w:pPr>
        <w:spacing w:before="0" w:after="0"/>
      </w:pPr>
    </w:p>
    <w:p>
      <w:r>
        <w:t xml:space="preserve">Troškovi u 2026.g. iznose 116,25 EUR te predstavljaju smanjenje od 97% u odnosu na 2025.g. U 2025.g. imali smo troškove adaptacije novog ureda za socijalnog pedagoga ( novo radno mjesto odobreno od strane Ministarstva).</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1.307,94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66,8</w:t>
            </w:r>
          </w:p>
        </w:tc>
      </w:tr>
    </w:tbl>
    <w:p>
      <w:pPr>
        <w:spacing w:before="0" w:after="0"/>
      </w:pPr>
    </w:p>
    <w:p>
      <w:r>
        <w:t xml:space="preserve">Troškovi u 2026.g. su smanjeni za 33,20% u odnosu na 2025.g. i odnose se na troškove premije osiguranja djelatnika i objekta. Ugovor o osiguranju ugovara  osnivač za sve svoje korisnike.</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Članarine i norme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110,3</w:t>
            </w:r>
          </w:p>
        </w:tc>
      </w:tr>
    </w:tbl>
    <w:p>
      <w:pPr>
        <w:spacing w:before="0" w:after="0"/>
      </w:pPr>
    </w:p>
    <w:p>
      <w:r>
        <w:t xml:space="preserve">Troškovi u 2026.g. su povećani za 10,3% u odnosu na 2025.g. i iznose 215,00 EUR te se odnose na troškove članarina Hrv. zajednice osnovnih škola, UTIRUŠ, Udruga ravnatelja osnovnih škola i Hrv. savez učeničkih zadruga. Trošak članarine Hrv. zajednice osnovnih škola i UTIRUŠ-a je povećan.</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13.526,86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12.117,00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89,6</w:t>
            </w:r>
          </w:p>
        </w:tc>
      </w:tr>
    </w:tbl>
    <w:p>
      <w:pPr>
        <w:spacing w:before="0" w:after="0"/>
      </w:pPr>
    </w:p>
    <w:p>
      <w:r>
        <w:t xml:space="preserve">Troškovi u 2026.g. iznose 12.117,00 EUR i odnose se na nabavku prijenosnih računala za učitelje i tajnika, školskih klupa, interaktivnih ekrana za potrebe izvođenja nastave i modularnog namještaja za učionicu produženog boravka.</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Sportska i glazbena oprema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Trošak nabavke u 2025.g. iznosi 39,53 EUR i odnosi se na nabavku lopti za badminton dok istog u predmetnom razdoblju 2026.g. nije bilo.</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613,63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Troškovi u 2026.g. iznose 613,63EUR i odnose se na  nabavu usisivača, mesoreznice, zamrzivača, bežičnih telefona za područne škole i jastuka za stolice. Istih troškova nabave u 2025.g. nije bilo.</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90.621,30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95.552,60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105,4</w:t>
            </w:r>
          </w:p>
        </w:tc>
      </w:tr>
    </w:tbl>
    <w:p>
      <w:pPr>
        <w:spacing w:before="0" w:after="0"/>
      </w:pPr>
    </w:p>
    <w:p>
      <w:r>
        <w:t xml:space="preserve">Iznos prihoda od 95.552,60 EUR predstavlja povećanje za 5,4% u odnosu na prošlu godinu i odnosi se na pomoći od proračuna koji nam nije nadležan (sredstva za plaće i materijalna prava djelatnika MZOM, sredstva za školsku kuhinju, prihodi za provođenje „Školske sheme“, prihodi za nabavu dijagnostičkih sredstava i higijenskih potrepština za učenice.</w:t>
      </w:r>
    </w:p>
    <w:p>
      <w:r>
        <w:t xml:space="preserve">Potraživanja za prihode za nabavu dijagnostičkih sredstava nije bilo u 2025.g. te je to rezultiralo povećanjem u 2026.g.</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4.161,80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Dospjele obveze prema državnom proračunu za bolovanje iznose 4.161,80 EUR i dospjele su jer Ministarstvo do izrade financijskog izvještaja nije poslalo obavijest o refundaciji istih.</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101.062,87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Šifra V009 – Stanje nedospjelih obveza na kraju izvještajnog razdoblja =101.062,87 EUR </w:t>
      </w:r>
    </w:p>
    <w:p>
      <w:r>
        <w:rPr>
          <w:i/>
        </w:rPr>
        <w:t xml:space="preserve">Sastoje se od:</w:t>
      </w:r>
    </w:p>
    <w:p>
      <w:r>
        <w:t xml:space="preserve">Obveze za zaposlene</w:t>
      </w:r>
    </w:p>
    <w:p>
      <w:r>
        <w:t xml:space="preserve">(plaće za lipanj 2026.g. koje se isplaćuju</w:t>
      </w:r>
    </w:p>
    <w:p>
      <w:r>
        <w:t xml:space="preserve"> u srpnju 2026.g.)                                                                              98.454,60 EUR</w:t>
      </w:r>
    </w:p>
    <w:p>
      <w:r>
        <w:t xml:space="preserve">Obveze prema državnom proračunu za bolovanje                                 995,45 EUR</w:t>
      </w:r>
    </w:p>
    <w:p>
      <w:r>
        <w:t xml:space="preserve">Obveze za materijalne rashode -službena putovanja - dnevnice            480,00 EUR</w:t>
      </w:r>
    </w:p>
    <w:p>
      <w:r>
        <w:t xml:space="preserve">Obveze za rashode poslovanja prema dobavljačima                           1.132,82 EUR</w:t>
      </w:r>
    </w:p>
    <w:p>
      <w:r>
        <w:t xml:space="preserve"> </w:t>
      </w:r>
    </w:p>
    <w:p/>
    <w:p>
      <w:pPr>
        <w:jc w:val="center"/>
        <w:pStyle w:val="Normal"/>
        <w:spacing w:line="240" w:lineRule="auto"/>
        <w:keepNext/>
      </w:pPr>
      <w:r>
        <w:rPr>
          <w:sz w:val="28"/>
          <w:rFonts w:ascii="Times New Roman" w:hAnsi="Times New Roman"/>
        </w:rPr>
        <w:t xml:space="preserve">Bilješka 35.</w:t>
      </w:r>
    </w:p>
    <w:p>
      <w:pPr>
        <w:jc w:val="both"/>
        <w:pStyle w:val="Normal"/>
        <w:spacing w:line="240" w:lineRule="auto"/>
      </w:pPr>
      <w:r>
        <w:rPr>
          <w:b/>
          <w:sz w:val="24"/>
          <w:rFonts w:ascii="Times New Roman" w:hAnsi="Times New Roman"/>
        </w:rPr>
        <w:t xml:space="preserve">EU izvještaj</w:t>
      </w:r>
    </w:p>
    <w:p>
      <w:r>
        <w:rPr>
          <w:b/>
        </w:rPr>
        <w:t xml:space="preserve">Nacionalno sufinanciranje</w:t>
      </w:r>
    </w:p>
    <w:p>
      <w:r>
        <w:t xml:space="preserve">Prihodi u iznosu od 2.650,16 EUR predstavljaju 15% plaće pomoćnika u nastavi u razdoblju od 01.01.2026.g. do 30.06.2026.g. financiranih od strane Ministarstva kao i troškovi u ukupnom iznosu od 3.150,50 EUR. Razlika je plaća za lipanj 2026.g. koja dospijeva u srpnju 2026.g.</w:t>
      </w:r>
    </w:p>
    <w:p>
      <w:r>
        <w:rPr>
          <w:b/>
        </w:rPr>
        <w:t xml:space="preserve">561 Europski socijalni fond plus</w:t>
      </w:r>
    </w:p>
    <w:p>
      <w:r>
        <w:t xml:space="preserve">Prihodi u iznosu od 12.367,27 EUR predstavljaju 15% plaće pomoćnika u nastavi u razdoblju od 01.01.2026g. do 30.06.2026.g. financiranih od strane EU kao i troškovi u ukupnom iznosu od 14.702,20 EUR. Razlika je plaća za lipanj 2026.g. koja dospijeva u srpnju 2026.g.</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16995042ade74160" /></Relationships>
</file>